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6F" w:rsidRPr="00093792" w:rsidRDefault="000F386F" w:rsidP="000F386F">
      <w:pPr>
        <w:spacing w:after="0" w:line="280" w:lineRule="exact"/>
        <w:jc w:val="center"/>
        <w:rPr>
          <w:rFonts w:cs="Arial"/>
          <w:i/>
          <w:sz w:val="20"/>
          <w:szCs w:val="20"/>
        </w:rPr>
      </w:pPr>
      <w:r w:rsidRPr="00093792">
        <w:rPr>
          <w:rFonts w:cs="Arial"/>
          <w:b/>
          <w:sz w:val="20"/>
          <w:szCs w:val="20"/>
          <w:u w:val="single"/>
        </w:rPr>
        <w:t>BUDGET PREVISIONNEL DE L’ACTION</w:t>
      </w:r>
      <w:r w:rsidRPr="00093792">
        <w:rPr>
          <w:rFonts w:cs="Arial"/>
          <w:b/>
          <w:sz w:val="20"/>
          <w:szCs w:val="20"/>
        </w:rPr>
        <w:t xml:space="preserve">  </w:t>
      </w:r>
      <w:r w:rsidRPr="00093792">
        <w:rPr>
          <w:rFonts w:cs="Arial"/>
          <w:i/>
          <w:sz w:val="20"/>
          <w:szCs w:val="20"/>
        </w:rPr>
        <w:t xml:space="preserve">(Source : </w:t>
      </w:r>
      <w:proofErr w:type="spellStart"/>
      <w:r w:rsidRPr="00093792">
        <w:rPr>
          <w:rFonts w:cs="Arial"/>
          <w:i/>
          <w:sz w:val="20"/>
          <w:szCs w:val="20"/>
        </w:rPr>
        <w:t>cerfa</w:t>
      </w:r>
      <w:proofErr w:type="spellEnd"/>
      <w:r w:rsidRPr="00093792">
        <w:rPr>
          <w:rFonts w:cs="Arial"/>
          <w:i/>
          <w:sz w:val="20"/>
          <w:szCs w:val="20"/>
        </w:rPr>
        <w:t xml:space="preserve"> N°12156*04, page 9)</w:t>
      </w:r>
    </w:p>
    <w:p w:rsidR="000F386F" w:rsidRPr="00093792" w:rsidRDefault="000F386F" w:rsidP="000F386F">
      <w:pPr>
        <w:spacing w:before="120" w:after="0" w:line="280" w:lineRule="exact"/>
        <w:jc w:val="center"/>
        <w:rPr>
          <w:rFonts w:cs="Arial"/>
          <w:b/>
          <w:i/>
          <w:sz w:val="20"/>
          <w:szCs w:val="20"/>
        </w:rPr>
      </w:pPr>
      <w:r w:rsidRPr="00093792">
        <w:rPr>
          <w:rFonts w:cs="Arial"/>
          <w:b/>
          <w:i/>
          <w:sz w:val="20"/>
          <w:szCs w:val="20"/>
        </w:rPr>
        <w:t>ANNEE OU EXERCICE ___________________</w:t>
      </w:r>
    </w:p>
    <w:p w:rsidR="000F386F" w:rsidRPr="00093792" w:rsidRDefault="000F386F" w:rsidP="000F386F">
      <w:pPr>
        <w:spacing w:after="0" w:line="280" w:lineRule="exact"/>
        <w:jc w:val="center"/>
        <w:rPr>
          <w:rFonts w:cs="Arial"/>
          <w:sz w:val="20"/>
          <w:szCs w:val="20"/>
        </w:rPr>
      </w:pPr>
    </w:p>
    <w:tbl>
      <w:tblPr>
        <w:tblW w:w="10942" w:type="dxa"/>
        <w:jc w:val="center"/>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516"/>
        <w:gridCol w:w="1512"/>
        <w:gridCol w:w="3402"/>
        <w:gridCol w:w="1512"/>
      </w:tblGrid>
      <w:tr w:rsidR="000F386F" w:rsidRPr="00093792" w:rsidTr="00D96000">
        <w:trPr>
          <w:jc w:val="center"/>
        </w:trPr>
        <w:tc>
          <w:tcPr>
            <w:tcW w:w="4516" w:type="dxa"/>
            <w:tcBorders>
              <w:top w:val="single" w:sz="4" w:space="0" w:color="auto"/>
              <w:bottom w:val="single" w:sz="4" w:space="0" w:color="auto"/>
              <w:right w:val="single" w:sz="4" w:space="0" w:color="auto"/>
            </w:tcBorders>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CHARGES</w:t>
            </w:r>
          </w:p>
        </w:tc>
        <w:tc>
          <w:tcPr>
            <w:tcW w:w="1512" w:type="dxa"/>
            <w:tcBorders>
              <w:top w:val="single" w:sz="4" w:space="0" w:color="auto"/>
              <w:bottom w:val="single" w:sz="4" w:space="0" w:color="auto"/>
              <w:right w:val="single" w:sz="4" w:space="0" w:color="auto"/>
            </w:tcBorders>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MONTANT TTC</w:t>
            </w:r>
          </w:p>
        </w:tc>
        <w:tc>
          <w:tcPr>
            <w:tcW w:w="3402" w:type="dxa"/>
            <w:tcBorders>
              <w:top w:val="single" w:sz="4" w:space="0" w:color="auto"/>
              <w:left w:val="single" w:sz="4" w:space="0" w:color="auto"/>
              <w:bottom w:val="single" w:sz="4" w:space="0" w:color="auto"/>
            </w:tcBorders>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PRODUITS</w:t>
            </w:r>
          </w:p>
        </w:tc>
        <w:tc>
          <w:tcPr>
            <w:tcW w:w="1512" w:type="dxa"/>
            <w:tcBorders>
              <w:top w:val="single" w:sz="4" w:space="0" w:color="auto"/>
              <w:left w:val="single" w:sz="4" w:space="0" w:color="auto"/>
              <w:bottom w:val="single" w:sz="4" w:space="0" w:color="auto"/>
            </w:tcBorders>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MONTANT TTC</w:t>
            </w:r>
          </w:p>
        </w:tc>
      </w:tr>
      <w:tr w:rsidR="000F386F" w:rsidRPr="00093792" w:rsidTr="00D96000">
        <w:trPr>
          <w:jc w:val="center"/>
        </w:trPr>
        <w:tc>
          <w:tcPr>
            <w:tcW w:w="6028" w:type="dxa"/>
            <w:gridSpan w:val="2"/>
            <w:tcBorders>
              <w:top w:val="single" w:sz="4" w:space="0" w:color="auto"/>
              <w:bottom w:val="single" w:sz="4" w:space="0" w:color="auto"/>
              <w:right w:val="single" w:sz="4" w:space="0" w:color="auto"/>
            </w:tcBorders>
            <w:shd w:val="clear" w:color="auto" w:fill="E6E6E6"/>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CHARGES DIRECTES</w:t>
            </w:r>
          </w:p>
        </w:tc>
        <w:tc>
          <w:tcPr>
            <w:tcW w:w="4914" w:type="dxa"/>
            <w:gridSpan w:val="2"/>
            <w:tcBorders>
              <w:top w:val="single" w:sz="4" w:space="0" w:color="auto"/>
              <w:left w:val="single" w:sz="4" w:space="0" w:color="auto"/>
              <w:bottom w:val="single" w:sz="4" w:space="0" w:color="auto"/>
            </w:tcBorders>
            <w:shd w:val="clear" w:color="auto" w:fill="E6E6E6"/>
            <w:vAlign w:val="center"/>
          </w:tcPr>
          <w:p w:rsidR="000F386F" w:rsidRPr="00093792" w:rsidRDefault="000F386F" w:rsidP="00D96000">
            <w:pPr>
              <w:autoSpaceDE w:val="0"/>
              <w:autoSpaceDN w:val="0"/>
              <w:adjustRightInd w:val="0"/>
              <w:spacing w:after="0" w:line="240" w:lineRule="auto"/>
              <w:jc w:val="center"/>
              <w:rPr>
                <w:rFonts w:eastAsia="Times New Roman" w:cs="Arial"/>
                <w:b/>
                <w:color w:val="000000"/>
                <w:sz w:val="20"/>
                <w:szCs w:val="20"/>
                <w:lang w:eastAsia="fr-FR"/>
              </w:rPr>
            </w:pPr>
            <w:r w:rsidRPr="00093792">
              <w:rPr>
                <w:rFonts w:eastAsia="Times New Roman" w:cs="Arial"/>
                <w:b/>
                <w:color w:val="000000"/>
                <w:sz w:val="20"/>
                <w:szCs w:val="20"/>
                <w:lang w:eastAsia="fr-FR"/>
              </w:rPr>
              <w:t>RESSOURCES DIRECTES</w:t>
            </w: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60 – Achats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70 – Vente de produits finis, de marchandises, prestations de services </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Prestations de services</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74- Subventions d’exploitation*</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Achats matières et fournitures</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color w:val="000000"/>
                <w:sz w:val="20"/>
                <w:szCs w:val="20"/>
                <w:lang w:eastAsia="fr-FR"/>
              </w:rPr>
              <w:t>Etat </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Autres fournitures</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61 - Services extérieurs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Région(s)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Locations</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Entretien et réparation</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Département(s)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Assurance</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Documentation</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Conférence des Financeurs (CFPPA 31)</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62 - Autres services extérieurs </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Rémunérations intermédiaires et honoraires</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Intercommunalité(s) : EPCI</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Publicité, publication</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Déplacements, missions</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Commune(s)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Services bancaires, autres</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63 - Impôts et taxes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Organismes sociaux (détailler)</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Impôts et taxes sur rémunération</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Autres impôts et taxes</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Fonds européens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64- Charges de personnel </w:t>
            </w:r>
          </w:p>
        </w:tc>
        <w:tc>
          <w:tcPr>
            <w:tcW w:w="151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 xml:space="preserve">Rémunération des personnels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 xml:space="preserve">Charges sociales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 xml:space="preserve">Autres charges de personnel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65- Autres charges de gestion courante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75 - Autres produits de gestion courante</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color w:val="000000"/>
                <w:sz w:val="20"/>
                <w:szCs w:val="20"/>
                <w:lang w:eastAsia="fr-FR"/>
              </w:rPr>
              <w:t>Dont cotisations, dons manuels ou legs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66- Charges financières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76 – Produits financiers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270"/>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 xml:space="preserve">67- Charges exceptionnelles </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77 – Produits exceptionnels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68- Dotation aux amortissements, provisions et engagements</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78 – Reprises sur amortissements et provisions</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shd w:val="clear" w:color="auto" w:fill="D9D9D9"/>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TOTAL DES CHARGES PREVISIONNELLES</w:t>
            </w:r>
          </w:p>
        </w:tc>
        <w:tc>
          <w:tcPr>
            <w:tcW w:w="1512" w:type="dxa"/>
            <w:tcBorders>
              <w:top w:val="single" w:sz="4" w:space="0" w:color="auto"/>
              <w:bottom w:val="single" w:sz="4" w:space="0" w:color="auto"/>
              <w:right w:val="single" w:sz="4" w:space="0" w:color="auto"/>
            </w:tcBorders>
            <w:shd w:val="clear" w:color="auto" w:fill="D9D9D9"/>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c>
          <w:tcPr>
            <w:tcW w:w="3402" w:type="dxa"/>
            <w:tcBorders>
              <w:top w:val="single" w:sz="4" w:space="0" w:color="auto"/>
              <w:left w:val="single" w:sz="4" w:space="0" w:color="auto"/>
              <w:bottom w:val="single" w:sz="4" w:space="0" w:color="auto"/>
            </w:tcBorders>
            <w:shd w:val="clear" w:color="auto" w:fill="D9D9D9"/>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TOTAL DES PRODUITS PREVISIONNELS</w:t>
            </w:r>
          </w:p>
        </w:tc>
        <w:tc>
          <w:tcPr>
            <w:tcW w:w="1512" w:type="dxa"/>
            <w:tcBorders>
              <w:top w:val="single" w:sz="4" w:space="0" w:color="auto"/>
              <w:left w:val="single" w:sz="4" w:space="0" w:color="auto"/>
              <w:bottom w:val="single" w:sz="4" w:space="0" w:color="auto"/>
            </w:tcBorders>
            <w:shd w:val="clear" w:color="auto" w:fill="D9D9D9"/>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86 – Emplois des contributions volontaires en nature</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r w:rsidRPr="00093792">
              <w:rPr>
                <w:rFonts w:eastAsia="Times New Roman" w:cs="Arial"/>
                <w:b/>
                <w:color w:val="000000"/>
                <w:sz w:val="20"/>
                <w:szCs w:val="20"/>
                <w:lang w:eastAsia="fr-FR"/>
              </w:rPr>
              <w:t>87 – Contributions volontaires en nature</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b/>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Secours en nature</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 xml:space="preserve">Bénévolat </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Mise à disposition gratuite de biens et prestations</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Prestations en nature</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r w:rsidR="000F386F" w:rsidRPr="00093792" w:rsidTr="00D96000">
        <w:trPr>
          <w:trHeight w:val="112"/>
          <w:jc w:val="center"/>
        </w:trPr>
        <w:tc>
          <w:tcPr>
            <w:tcW w:w="4516"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Personnel bénévole</w:t>
            </w:r>
          </w:p>
        </w:tc>
        <w:tc>
          <w:tcPr>
            <w:tcW w:w="1512" w:type="dxa"/>
            <w:tcBorders>
              <w:top w:val="single" w:sz="4" w:space="0" w:color="auto"/>
              <w:bottom w:val="single" w:sz="4" w:space="0" w:color="auto"/>
              <w:right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c>
          <w:tcPr>
            <w:tcW w:w="340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r w:rsidRPr="00093792">
              <w:rPr>
                <w:rFonts w:eastAsia="Times New Roman" w:cs="Arial"/>
                <w:color w:val="000000"/>
                <w:sz w:val="20"/>
                <w:szCs w:val="20"/>
                <w:lang w:eastAsia="fr-FR"/>
              </w:rPr>
              <w:t>Dons en nature</w:t>
            </w:r>
          </w:p>
        </w:tc>
        <w:tc>
          <w:tcPr>
            <w:tcW w:w="1512" w:type="dxa"/>
            <w:tcBorders>
              <w:top w:val="single" w:sz="4" w:space="0" w:color="auto"/>
              <w:left w:val="single" w:sz="4" w:space="0" w:color="auto"/>
              <w:bottom w:val="single" w:sz="4" w:space="0" w:color="auto"/>
            </w:tcBorders>
          </w:tcPr>
          <w:p w:rsidR="000F386F" w:rsidRPr="00093792" w:rsidRDefault="000F386F" w:rsidP="00D96000">
            <w:pPr>
              <w:autoSpaceDE w:val="0"/>
              <w:autoSpaceDN w:val="0"/>
              <w:adjustRightInd w:val="0"/>
              <w:spacing w:after="0" w:line="240" w:lineRule="auto"/>
              <w:rPr>
                <w:rFonts w:eastAsia="Times New Roman" w:cs="Arial"/>
                <w:color w:val="000000"/>
                <w:sz w:val="20"/>
                <w:szCs w:val="20"/>
                <w:lang w:eastAsia="fr-FR"/>
              </w:rPr>
            </w:pPr>
          </w:p>
        </w:tc>
      </w:tr>
    </w:tbl>
    <w:p w:rsidR="000F386F" w:rsidRPr="00093792" w:rsidRDefault="000F386F" w:rsidP="000F386F">
      <w:pPr>
        <w:autoSpaceDE w:val="0"/>
        <w:autoSpaceDN w:val="0"/>
        <w:adjustRightInd w:val="0"/>
        <w:spacing w:before="120" w:after="0" w:line="240" w:lineRule="auto"/>
        <w:ind w:left="-851" w:right="-853"/>
        <w:jc w:val="both"/>
        <w:rPr>
          <w:rFonts w:eastAsia="Times New Roman" w:cs="Arial"/>
          <w:i/>
          <w:sz w:val="20"/>
          <w:szCs w:val="20"/>
          <w:lang w:eastAsia="fr-FR"/>
        </w:rPr>
      </w:pPr>
      <w:r w:rsidRPr="00093792">
        <w:rPr>
          <w:rFonts w:eastAsia="Times New Roman" w:cs="Arial"/>
          <w:i/>
          <w:sz w:val="20"/>
          <w:szCs w:val="20"/>
          <w:lang w:eastAsia="fr-FR"/>
        </w:rPr>
        <w:t>* L’attention du demandeur est appelée sur le fait que les indications sur les financements demandés auprès d’autres financeurs publics valent déclaration sur l’honneur et tiennent lieu de justificatifs. Aucun document ne sera demandé si cette partie est complétée en indiquant les autres services et collectivités sollicités.</w:t>
      </w:r>
      <w:bookmarkStart w:id="0" w:name="_GoBack"/>
      <w:bookmarkEnd w:id="0"/>
    </w:p>
    <w:p w:rsidR="00702403" w:rsidRDefault="00702403" w:rsidP="000F386F">
      <w:pPr>
        <w:ind w:left="-851"/>
      </w:pPr>
    </w:p>
    <w:sectPr w:rsidR="00702403" w:rsidSect="000F386F">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6F"/>
    <w:rsid w:val="000F386F"/>
    <w:rsid w:val="00702403"/>
    <w:rsid w:val="00995928"/>
    <w:rsid w:val="00E90852"/>
    <w:rsid w:val="00ED6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86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0</DocSecurity>
  <Lines>14</Lines>
  <Paragraphs>4</Paragraphs>
  <ScaleCrop>false</ScaleCrop>
  <Company>Haute-Garonne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Bertrand-Guihal Anne</dc:creator>
  <cp:lastModifiedBy>Bertrand-Guihal Anne</cp:lastModifiedBy>
  <cp:revision>1</cp:revision>
  <dcterms:created xsi:type="dcterms:W3CDTF">2018-12-11T13:52:00Z</dcterms:created>
  <dcterms:modified xsi:type="dcterms:W3CDTF">2018-12-11T13:53:00Z</dcterms:modified>
</cp:coreProperties>
</file>